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 xml:space="preserve">Witam Was Kochani. </w:t>
      </w:r>
    </w:p>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 xml:space="preserve">Mam nadzieję, że wszyscy jesteście zdrowi :) </w:t>
      </w:r>
    </w:p>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 xml:space="preserve">Ze względu na tę dość nietypową sytuację musimy dostosować się do nowego trybu nauki, przynajmniej na jakiś czas. Zdaję sobie sprawę, że to nie to samo co kontakt bezpośredni ale mam nadzieję, że uda nam się popracować efektywnie na odległość. Sytuacja jest nowa i potrzeba czasu na dostosowanie. Nie chcę Was zarzucać zadaniami, bo nie o to chodzi, ale liczę na Waszą aktywność, którą oczywiście docenię :) </w:t>
      </w:r>
    </w:p>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Na piątek proponuję powtórkę Układów gromadzenia kosztów: układ rodzajowy, funkcjonalny oraz zaprezentowany poniżej układ kalkulacyjny kosztów. Zachęcam do poszukiwania w sieci innych opracowań tematu, które pozwolą Wam zrozumieć zagadnienie. W razie pytań piszcie na a.budnik@ckziu-elektryk.pl lub w dzienniku elektronicznym LIBRUS.</w:t>
      </w:r>
    </w:p>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Bądźcie zdrowi!</w:t>
      </w:r>
    </w:p>
    <w:p w:rsidR="00186EF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Agnieszka Budnik</w:t>
      </w:r>
    </w:p>
    <w:p w:rsidR="00186EF3" w:rsidRDefault="00186EF3" w:rsidP="00186EF3">
      <w:pPr>
        <w:spacing w:after="0" w:line="360" w:lineRule="auto"/>
        <w:outlineLvl w:val="0"/>
        <w:rPr>
          <w:rFonts w:eastAsia="Times New Roman" w:cs="Arial"/>
          <w:b/>
          <w:spacing w:val="12"/>
          <w:kern w:val="36"/>
          <w:sz w:val="24"/>
          <w:szCs w:val="24"/>
          <w:lang w:eastAsia="pl-PL"/>
        </w:rPr>
      </w:pPr>
    </w:p>
    <w:p w:rsidR="00186EF3" w:rsidRPr="00587B63" w:rsidRDefault="00186EF3" w:rsidP="00186EF3">
      <w:pPr>
        <w:spacing w:after="0" w:line="360" w:lineRule="auto"/>
        <w:outlineLvl w:val="0"/>
        <w:rPr>
          <w:rFonts w:eastAsia="Times New Roman" w:cs="Arial"/>
          <w:b/>
          <w:spacing w:val="12"/>
          <w:kern w:val="36"/>
          <w:sz w:val="24"/>
          <w:szCs w:val="24"/>
          <w:lang w:eastAsia="pl-PL"/>
        </w:rPr>
      </w:pPr>
      <w:r>
        <w:rPr>
          <w:rFonts w:eastAsia="Times New Roman" w:cs="Arial"/>
          <w:b/>
          <w:spacing w:val="12"/>
          <w:kern w:val="36"/>
          <w:sz w:val="24"/>
          <w:szCs w:val="24"/>
          <w:lang w:eastAsia="pl-PL"/>
        </w:rPr>
        <w:t>Proszę zapoznać się z poniższym materiałem i sporządzić notatkę w zeszycie (lub wkleić wydrukowany tekst- jak wolicie, notatka jest dla Was).</w:t>
      </w:r>
    </w:p>
    <w:p w:rsidR="00186EF3" w:rsidRDefault="00186EF3" w:rsidP="001A3DC5">
      <w:pPr>
        <w:spacing w:after="372" w:line="360" w:lineRule="auto"/>
        <w:jc w:val="center"/>
        <w:outlineLvl w:val="0"/>
        <w:rPr>
          <w:rFonts w:eastAsia="Times New Roman" w:cs="Arial"/>
          <w:b/>
          <w:spacing w:val="12"/>
          <w:kern w:val="36"/>
          <w:sz w:val="24"/>
          <w:szCs w:val="24"/>
          <w:u w:val="single"/>
          <w:lang w:eastAsia="pl-PL"/>
        </w:rPr>
      </w:pPr>
    </w:p>
    <w:p w:rsidR="001A3DC5" w:rsidRPr="001A3DC5" w:rsidRDefault="001A3DC5" w:rsidP="001A3DC5">
      <w:pPr>
        <w:spacing w:after="372" w:line="360" w:lineRule="auto"/>
        <w:jc w:val="center"/>
        <w:outlineLvl w:val="0"/>
        <w:rPr>
          <w:rFonts w:eastAsia="Times New Roman" w:cs="Arial"/>
          <w:b/>
          <w:spacing w:val="12"/>
          <w:kern w:val="36"/>
          <w:sz w:val="24"/>
          <w:szCs w:val="24"/>
          <w:u w:val="single"/>
          <w:lang w:eastAsia="pl-PL"/>
        </w:rPr>
      </w:pPr>
      <w:r w:rsidRPr="001A3DC5">
        <w:rPr>
          <w:rFonts w:eastAsia="Times New Roman" w:cs="Arial"/>
          <w:b/>
          <w:spacing w:val="12"/>
          <w:kern w:val="36"/>
          <w:sz w:val="24"/>
          <w:szCs w:val="24"/>
          <w:u w:val="single"/>
          <w:lang w:eastAsia="pl-PL"/>
        </w:rPr>
        <w:t>Układ kalkulacyjny kosztów</w:t>
      </w:r>
    </w:p>
    <w:p w:rsidR="001A3DC5" w:rsidRPr="001A3DC5" w:rsidRDefault="001A3DC5" w:rsidP="001A3DC5">
      <w:pPr>
        <w:spacing w:after="0" w:line="360" w:lineRule="auto"/>
        <w:jc w:val="both"/>
        <w:rPr>
          <w:rFonts w:eastAsia="Times New Roman" w:cs="Times New Roman"/>
          <w:color w:val="989FA8"/>
          <w:sz w:val="24"/>
          <w:szCs w:val="24"/>
          <w:lang w:eastAsia="pl-PL"/>
        </w:rPr>
      </w:pP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Układ kalkulacyjny kosztów zajmuje się grupowaniem kosztów ze względu na sposób ich rachunkowego odniesienia na produkty. Umożliwia przedstawienie struktury kosztów dotyczących określonego produktu. Dokładniej – układ kalkulacyjny kosztów pomaga stwierdzić czy dany koszt może być wprost z dokumentacji odniesiony na produkt. Ukazuje też z jakim produktem i w jakiej części jest związany powstały koszt.</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Kalkulacyjny układ kosztów umożliwia ustalenie całkowitych i jednostkowych kosztów własnych wytworzenia produktów. Poniesione koszty dzielimy na bezpośrednie i pośrednie.</w:t>
      </w:r>
    </w:p>
    <w:p w:rsidR="001A3DC5" w:rsidRPr="001A3DC5" w:rsidRDefault="001A3DC5" w:rsidP="001A3DC5">
      <w:pPr>
        <w:spacing w:before="497" w:after="248" w:line="360" w:lineRule="auto"/>
        <w:jc w:val="both"/>
        <w:outlineLvl w:val="2"/>
        <w:rPr>
          <w:rFonts w:eastAsia="Times New Roman" w:cs="Arial"/>
          <w:color w:val="505559"/>
          <w:spacing w:val="12"/>
          <w:sz w:val="24"/>
          <w:szCs w:val="24"/>
          <w:lang w:eastAsia="pl-PL"/>
        </w:rPr>
      </w:pPr>
      <w:r w:rsidRPr="001A3DC5">
        <w:rPr>
          <w:rFonts w:eastAsia="Times New Roman" w:cs="Arial"/>
          <w:b/>
          <w:bCs/>
          <w:color w:val="505559"/>
          <w:spacing w:val="12"/>
          <w:sz w:val="24"/>
          <w:szCs w:val="24"/>
          <w:lang w:eastAsia="pl-PL"/>
        </w:rPr>
        <w:lastRenderedPageBreak/>
        <w:t>KOSZTY BEZPOŚREDNIE</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Obejmują te z poniesionych kosztów, które mogą być przyporządkowane grupom produktów wprost z dokumentacji źródłowej.</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Należą do nich:</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w:t>
      </w:r>
      <w:r w:rsidRPr="001A3DC5">
        <w:rPr>
          <w:rFonts w:eastAsia="Times New Roman" w:cs="Times New Roman"/>
          <w:b/>
          <w:bCs/>
          <w:sz w:val="24"/>
          <w:szCs w:val="24"/>
          <w:lang w:eastAsia="pl-PL"/>
        </w:rPr>
        <w:t> materiały bezpośrednie</w:t>
      </w:r>
      <w:r w:rsidRPr="001A3DC5">
        <w:rPr>
          <w:rFonts w:eastAsia="Times New Roman" w:cs="Times New Roman"/>
          <w:sz w:val="24"/>
          <w:szCs w:val="24"/>
          <w:lang w:eastAsia="pl-PL"/>
        </w:rPr>
        <w:t> – materiały wchodzące w strukturę produktów. Również opakowania jeśli są integralną częścią wyrobu oraz wartość wykorzystanych półfabrykatów.</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 </w:t>
      </w:r>
      <w:r w:rsidRPr="001A3DC5">
        <w:rPr>
          <w:rFonts w:eastAsia="Times New Roman" w:cs="Times New Roman"/>
          <w:b/>
          <w:bCs/>
          <w:sz w:val="24"/>
          <w:szCs w:val="24"/>
          <w:lang w:eastAsia="pl-PL"/>
        </w:rPr>
        <w:t>paliwa i energia technologiczna</w:t>
      </w:r>
      <w:r w:rsidRPr="001A3DC5">
        <w:rPr>
          <w:rFonts w:eastAsia="Times New Roman" w:cs="Times New Roman"/>
          <w:sz w:val="24"/>
          <w:szCs w:val="24"/>
          <w:lang w:eastAsia="pl-PL"/>
        </w:rPr>
        <w:t> – równowartość zużytej na potrzeby technologiczne energii oraz paliw ciekłych i stałych. Jest to także wszelką energia wytworzona przez własne wydziały pomocnicze. Muszą być one możliwe do bezpośredniego odniesienia w koszty produkcji podstawowej.</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 </w:t>
      </w:r>
      <w:r w:rsidRPr="001A3DC5">
        <w:rPr>
          <w:rFonts w:eastAsia="Times New Roman" w:cs="Times New Roman"/>
          <w:b/>
          <w:bCs/>
          <w:sz w:val="24"/>
          <w:szCs w:val="24"/>
          <w:lang w:eastAsia="pl-PL"/>
        </w:rPr>
        <w:t>wynagrodzenia i narzuty</w:t>
      </w:r>
      <w:r w:rsidRPr="001A3DC5">
        <w:rPr>
          <w:rFonts w:eastAsia="Times New Roman" w:cs="Times New Roman"/>
          <w:sz w:val="24"/>
          <w:szCs w:val="24"/>
          <w:lang w:eastAsia="pl-PL"/>
        </w:rPr>
        <w:t> – koszty poniesione w związku z placami za prace bezpośrednio produkcyjną. Są one powiększone o odpisy związane z funkcjonowaniem systemu ubezpieczeń społecznych.</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w:t>
      </w:r>
      <w:r w:rsidRPr="001A3DC5">
        <w:rPr>
          <w:rFonts w:eastAsia="Times New Roman" w:cs="Times New Roman"/>
          <w:b/>
          <w:bCs/>
          <w:sz w:val="24"/>
          <w:szCs w:val="24"/>
          <w:lang w:eastAsia="pl-PL"/>
        </w:rPr>
        <w:t> inne koszty</w:t>
      </w:r>
      <w:r w:rsidRPr="001A3DC5">
        <w:rPr>
          <w:rFonts w:eastAsia="Times New Roman" w:cs="Times New Roman"/>
          <w:sz w:val="24"/>
          <w:szCs w:val="24"/>
          <w:lang w:eastAsia="pl-PL"/>
        </w:rPr>
        <w:t> – inne nie wymienione wyżej, a dające się odnieść w ciężar koszty produkcji podstawowej. Są to np. koszty przygotowania nowej produkcji, wartość zużytych narzędzi specjalnych itp.</w:t>
      </w:r>
    </w:p>
    <w:p w:rsidR="001A3DC5" w:rsidRPr="001A3DC5" w:rsidRDefault="001A3DC5" w:rsidP="001A3DC5">
      <w:pPr>
        <w:spacing w:before="497" w:after="248" w:line="360" w:lineRule="auto"/>
        <w:jc w:val="both"/>
        <w:outlineLvl w:val="2"/>
        <w:rPr>
          <w:rFonts w:eastAsia="Times New Roman" w:cs="Arial"/>
          <w:color w:val="505559"/>
          <w:spacing w:val="12"/>
          <w:sz w:val="24"/>
          <w:szCs w:val="24"/>
          <w:lang w:eastAsia="pl-PL"/>
        </w:rPr>
      </w:pPr>
      <w:r w:rsidRPr="001A3DC5">
        <w:rPr>
          <w:rFonts w:eastAsia="Times New Roman" w:cs="Arial"/>
          <w:b/>
          <w:bCs/>
          <w:color w:val="505559"/>
          <w:spacing w:val="12"/>
          <w:sz w:val="24"/>
          <w:szCs w:val="24"/>
          <w:lang w:eastAsia="pl-PL"/>
        </w:rPr>
        <w:t>KOSZTY POŚREDNIE</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Koszty, które nie mogą być przyporządkowane grupom produktów wprost z dokumentacji źródłowej.</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Są to:</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 </w:t>
      </w:r>
      <w:r w:rsidRPr="001A3DC5">
        <w:rPr>
          <w:rFonts w:eastAsia="Times New Roman" w:cs="Times New Roman"/>
          <w:b/>
          <w:bCs/>
          <w:sz w:val="24"/>
          <w:szCs w:val="24"/>
          <w:lang w:eastAsia="pl-PL"/>
        </w:rPr>
        <w:t>koszty wydziałowe</w:t>
      </w:r>
      <w:r w:rsidRPr="001A3DC5">
        <w:rPr>
          <w:rFonts w:eastAsia="Times New Roman" w:cs="Times New Roman"/>
          <w:sz w:val="24"/>
          <w:szCs w:val="24"/>
          <w:lang w:eastAsia="pl-PL"/>
        </w:rPr>
        <w:t> – koszty poniesione na wydziałach produkcyjnych, ale nie dające się odnieść wprost na właściwe produkty. Są to np. koszty utrzymania ruchu maszyn i urządzeń produkcyjnych, ogrzewanie i dbanie o czystość pomieszczeń produkcyjnych, koszty remontów i konserwacji itp.</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lastRenderedPageBreak/>
        <w:t>– </w:t>
      </w:r>
      <w:r w:rsidRPr="001A3DC5">
        <w:rPr>
          <w:rFonts w:eastAsia="Times New Roman" w:cs="Times New Roman"/>
          <w:b/>
          <w:bCs/>
          <w:sz w:val="24"/>
          <w:szCs w:val="24"/>
          <w:lang w:eastAsia="pl-PL"/>
        </w:rPr>
        <w:t xml:space="preserve">koszty </w:t>
      </w:r>
      <w:proofErr w:type="spellStart"/>
      <w:r w:rsidRPr="001A3DC5">
        <w:rPr>
          <w:rFonts w:eastAsia="Times New Roman" w:cs="Times New Roman"/>
          <w:b/>
          <w:bCs/>
          <w:sz w:val="24"/>
          <w:szCs w:val="24"/>
          <w:lang w:eastAsia="pl-PL"/>
        </w:rPr>
        <w:t>ogólnoadministracyjne</w:t>
      </w:r>
      <w:proofErr w:type="spellEnd"/>
      <w:r w:rsidRPr="001A3DC5">
        <w:rPr>
          <w:rFonts w:eastAsia="Times New Roman" w:cs="Times New Roman"/>
          <w:sz w:val="24"/>
          <w:szCs w:val="24"/>
          <w:lang w:eastAsia="pl-PL"/>
        </w:rPr>
        <w:t> (koszty ogólnego zarządu) – wynagrodzenia i narzuty kierownictwa firmy, podróże służbowe pracowników administracji, opłaty za usługi biurowe itp.</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 </w:t>
      </w:r>
      <w:r w:rsidRPr="001A3DC5">
        <w:rPr>
          <w:rFonts w:eastAsia="Times New Roman" w:cs="Times New Roman"/>
          <w:b/>
          <w:bCs/>
          <w:sz w:val="24"/>
          <w:szCs w:val="24"/>
          <w:lang w:eastAsia="pl-PL"/>
        </w:rPr>
        <w:t>koszty zakupu</w:t>
      </w:r>
      <w:r w:rsidRPr="001A3DC5">
        <w:rPr>
          <w:rFonts w:eastAsia="Times New Roman" w:cs="Times New Roman"/>
          <w:sz w:val="24"/>
          <w:szCs w:val="24"/>
          <w:lang w:eastAsia="pl-PL"/>
        </w:rPr>
        <w:t> – koszty poniesione w fazie zaopatrzenia, nie wchodzące w zakres ceny zakupu. Są związane z dostarczeniem materiałów od dostawcy do własnych magazynów</w:t>
      </w:r>
    </w:p>
    <w:p w:rsidR="001A3DC5" w:rsidRPr="001A3DC5" w:rsidRDefault="001A3DC5" w:rsidP="001A3DC5">
      <w:pPr>
        <w:spacing w:after="248" w:line="360" w:lineRule="auto"/>
        <w:jc w:val="both"/>
        <w:rPr>
          <w:rFonts w:eastAsia="Times New Roman" w:cs="Times New Roman"/>
          <w:sz w:val="24"/>
          <w:szCs w:val="24"/>
          <w:lang w:eastAsia="pl-PL"/>
        </w:rPr>
      </w:pPr>
      <w:r w:rsidRPr="001A3DC5">
        <w:rPr>
          <w:rFonts w:eastAsia="Times New Roman" w:cs="Times New Roman"/>
          <w:sz w:val="24"/>
          <w:szCs w:val="24"/>
          <w:lang w:eastAsia="pl-PL"/>
        </w:rPr>
        <w:t>– </w:t>
      </w:r>
      <w:r w:rsidRPr="001A3DC5">
        <w:rPr>
          <w:rFonts w:eastAsia="Times New Roman" w:cs="Times New Roman"/>
          <w:b/>
          <w:bCs/>
          <w:sz w:val="24"/>
          <w:szCs w:val="24"/>
          <w:lang w:eastAsia="pl-PL"/>
        </w:rPr>
        <w:t>koszty sprzedaży</w:t>
      </w:r>
      <w:r w:rsidRPr="001A3DC5">
        <w:rPr>
          <w:rFonts w:eastAsia="Times New Roman" w:cs="Times New Roman"/>
          <w:sz w:val="24"/>
          <w:szCs w:val="24"/>
          <w:lang w:eastAsia="pl-PL"/>
        </w:rPr>
        <w:t> – koszty poniesione w związku z dostarczeniem wyrobów z własnych magazynów do miejsca wskazanego przez odbiorcę. Jest to też transport, reklama, marketing, opakowania, ubezpieczenia.</w:t>
      </w:r>
    </w:p>
    <w:p w:rsidR="001E3518" w:rsidRDefault="001A3DC5" w:rsidP="001A3DC5">
      <w:pPr>
        <w:spacing w:line="360" w:lineRule="auto"/>
        <w:jc w:val="both"/>
      </w:pPr>
      <w:r>
        <w:rPr>
          <w:rFonts w:eastAsia="Times New Roman" w:cs="Arial"/>
          <w:color w:val="505559"/>
          <w:spacing w:val="12"/>
          <w:kern w:val="36"/>
          <w:sz w:val="24"/>
          <w:szCs w:val="24"/>
          <w:lang w:eastAsia="pl-PL"/>
        </w:rPr>
        <w:t xml:space="preserve">Źródło: </w:t>
      </w:r>
      <w:hyperlink r:id="rId4" w:history="1">
        <w:r>
          <w:rPr>
            <w:rStyle w:val="Hipercze"/>
          </w:rPr>
          <w:t>http://bemi-transport.pl/przedsiebiorca/uklad-kalkulacyjny-kosztow/</w:t>
        </w:r>
      </w:hyperlink>
    </w:p>
    <w:p w:rsidR="00186EF3" w:rsidRDefault="00186EF3" w:rsidP="001A3DC5">
      <w:pPr>
        <w:spacing w:line="360" w:lineRule="auto"/>
        <w:jc w:val="both"/>
      </w:pPr>
    </w:p>
    <w:p w:rsidR="00186EF3" w:rsidRPr="00186EF3" w:rsidRDefault="00186EF3" w:rsidP="001A3DC5">
      <w:pPr>
        <w:spacing w:line="360" w:lineRule="auto"/>
        <w:jc w:val="both"/>
        <w:rPr>
          <w:b/>
        </w:rPr>
      </w:pPr>
      <w:r w:rsidRPr="00186EF3">
        <w:rPr>
          <w:b/>
        </w:rPr>
        <w:t>Układ kalkulacyjny</w:t>
      </w:r>
    </w:p>
    <w:p w:rsidR="00186EF3" w:rsidRDefault="00186EF3" w:rsidP="00186EF3">
      <w:pPr>
        <w:spacing w:line="360" w:lineRule="auto"/>
        <w:jc w:val="both"/>
      </w:pPr>
      <w:r>
        <w:t xml:space="preserve">Koszty ujęte według miejsc powstawania kosztów podlegają rozliczeniu na produkty tworząc układ kalkulacyjny. </w:t>
      </w:r>
    </w:p>
    <w:p w:rsidR="00186EF3" w:rsidRDefault="00186EF3" w:rsidP="00186EF3">
      <w:pPr>
        <w:spacing w:line="360" w:lineRule="auto"/>
        <w:jc w:val="both"/>
      </w:pPr>
      <w:r>
        <w:t>Celem stosowania układu kalkulacyjnego jest uzyskanie lepszego wglądu w strukturę kosztów.</w:t>
      </w:r>
    </w:p>
    <w:p w:rsidR="00186EF3" w:rsidRDefault="00186EF3" w:rsidP="00186EF3">
      <w:pPr>
        <w:spacing w:line="360" w:lineRule="auto"/>
        <w:jc w:val="both"/>
      </w:pPr>
      <w:r>
        <w:t xml:space="preserve"> W wyniku rozliczeń kalkulacyjnych do kosztów bezpośrednich poszczególnych produktów doliczane są uzasadnione koszty pośrednie wytwarzania. </w:t>
      </w:r>
    </w:p>
    <w:p w:rsidR="00186EF3" w:rsidRDefault="00186EF3" w:rsidP="00186EF3">
      <w:pPr>
        <w:spacing w:line="360" w:lineRule="auto"/>
        <w:jc w:val="both"/>
      </w:pPr>
      <w:r>
        <w:t>Uzasadniona część kosztów pośrednio związanych z danym produktem, to odpowiednie do okresu wytwarzania:</w:t>
      </w:r>
    </w:p>
    <w:p w:rsidR="00186EF3" w:rsidRDefault="00186EF3" w:rsidP="00186EF3">
      <w:pPr>
        <w:spacing w:line="360" w:lineRule="auto"/>
        <w:jc w:val="both"/>
      </w:pPr>
      <w:r>
        <w:t>-zmienne koszty pośrednie produkcji,</w:t>
      </w:r>
    </w:p>
    <w:p w:rsidR="00186EF3" w:rsidRDefault="00186EF3" w:rsidP="00186EF3">
      <w:pPr>
        <w:spacing w:line="360" w:lineRule="auto"/>
        <w:jc w:val="both"/>
      </w:pPr>
      <w:r>
        <w:t xml:space="preserve">- stałe koszty pośrednie produkcji rozliczone na jednostkę przy założeniu normalnego wykorzystania zdolności produkcyjnych jednostki. </w:t>
      </w:r>
    </w:p>
    <w:p w:rsidR="00186EF3" w:rsidRDefault="00186EF3" w:rsidP="00186EF3">
      <w:pPr>
        <w:spacing w:line="360" w:lineRule="auto"/>
        <w:jc w:val="both"/>
      </w:pPr>
      <w:r>
        <w:t>Przyjmijmy założenie normalnego wykorzystania w każdym okresie mocy produkcyjnych jednostki.</w:t>
      </w:r>
    </w:p>
    <w:p w:rsidR="00186EF3" w:rsidRDefault="00186EF3" w:rsidP="00186EF3">
      <w:pPr>
        <w:spacing w:line="360" w:lineRule="auto"/>
        <w:jc w:val="both"/>
      </w:pPr>
      <w:r>
        <w:t>W efekcie przeprowadzonych rozliczeń następuje ujęcie kosztów wytworzenia produktów według następujących pozycji kalkulacyjnych:</w:t>
      </w:r>
    </w:p>
    <w:p w:rsidR="00186EF3" w:rsidRDefault="00186EF3" w:rsidP="00186EF3">
      <w:pPr>
        <w:spacing w:line="360" w:lineRule="auto"/>
        <w:jc w:val="both"/>
      </w:pPr>
      <w:r>
        <w:t>1) materiały bezpośrednie (z kosztami zakupu),</w:t>
      </w:r>
    </w:p>
    <w:p w:rsidR="00186EF3" w:rsidRDefault="00186EF3" w:rsidP="00186EF3">
      <w:pPr>
        <w:spacing w:line="360" w:lineRule="auto"/>
        <w:jc w:val="both"/>
      </w:pPr>
      <w:r>
        <w:t>2) płace bezpośrednie wraz z narzutami,</w:t>
      </w:r>
    </w:p>
    <w:p w:rsidR="00186EF3" w:rsidRDefault="00186EF3" w:rsidP="00186EF3">
      <w:pPr>
        <w:spacing w:line="360" w:lineRule="auto"/>
        <w:jc w:val="both"/>
      </w:pPr>
      <w:r>
        <w:rPr>
          <w:noProof/>
          <w:lang w:eastAsia="pl-PL"/>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13.85pt;margin-top:23.15pt;width:3in;height:0;z-index:251660288" o:connectortype="straight"/>
        </w:pict>
      </w:r>
      <w:r>
        <w:t>3) inne koszty bezpośrednie (np. przygotowania nowej produkcji, zużycia narzędzi specjalnych),</w:t>
      </w:r>
    </w:p>
    <w:p w:rsidR="00186EF3" w:rsidRDefault="00186EF3" w:rsidP="00186EF3">
      <w:pPr>
        <w:spacing w:line="360" w:lineRule="auto"/>
        <w:jc w:val="both"/>
      </w:pPr>
      <w:r>
        <w:t>4) razem koszty bezpośrednie (1+2+3),</w:t>
      </w:r>
    </w:p>
    <w:p w:rsidR="00186EF3" w:rsidRDefault="00186EF3" w:rsidP="00186EF3">
      <w:pPr>
        <w:spacing w:line="360" w:lineRule="auto"/>
        <w:jc w:val="both"/>
      </w:pPr>
      <w:r>
        <w:rPr>
          <w:noProof/>
          <w:lang w:eastAsia="pl-PL"/>
        </w:rPr>
        <w:pict>
          <v:shape id="_x0000_s1027" type="#_x0000_t32" style="position:absolute;left:0;text-align:left;margin-left:-13.85pt;margin-top:17.6pt;width:3in;height:0;z-index:251661312" o:connectortype="straight"/>
        </w:pict>
      </w:r>
      <w:r>
        <w:t>5) uzasadnione koszty wydziałowe,</w:t>
      </w:r>
    </w:p>
    <w:p w:rsidR="00186EF3" w:rsidRDefault="00186EF3" w:rsidP="00186EF3">
      <w:pPr>
        <w:spacing w:line="360" w:lineRule="auto"/>
        <w:jc w:val="both"/>
      </w:pPr>
      <w:r>
        <w:t>6) koszt wytworzenia (4+5)</w:t>
      </w:r>
    </w:p>
    <w:p w:rsidR="00186EF3" w:rsidRDefault="00186EF3" w:rsidP="00186EF3">
      <w:pPr>
        <w:spacing w:line="360" w:lineRule="auto"/>
        <w:jc w:val="both"/>
      </w:pPr>
    </w:p>
    <w:p w:rsidR="00186EF3" w:rsidRDefault="00186EF3" w:rsidP="00186EF3">
      <w:pPr>
        <w:spacing w:line="360" w:lineRule="auto"/>
        <w:jc w:val="both"/>
      </w:pPr>
      <w:r>
        <w:t xml:space="preserve">Dzięki temu podziałowi kosztów możliwe jest konfrontowanie poziomu kosztów i cen poszczególnych produktów oraz ustalenie ich rentowności. </w:t>
      </w:r>
    </w:p>
    <w:p w:rsidR="00186EF3" w:rsidRDefault="00186EF3" w:rsidP="00186EF3">
      <w:pPr>
        <w:spacing w:line="360" w:lineRule="auto"/>
        <w:jc w:val="both"/>
      </w:pPr>
    </w:p>
    <w:p w:rsidR="00186EF3" w:rsidRDefault="00186EF3" w:rsidP="00186EF3">
      <w:pPr>
        <w:spacing w:line="360" w:lineRule="auto"/>
        <w:jc w:val="both"/>
      </w:pPr>
      <w:r w:rsidRPr="0095214B">
        <w:rPr>
          <w:b/>
        </w:rPr>
        <w:t xml:space="preserve">Koszt wytworzenia </w:t>
      </w:r>
      <w:r w:rsidRPr="0095214B">
        <w:rPr>
          <w:b/>
          <w:u w:val="single"/>
        </w:rPr>
        <w:t>nie obejmuje</w:t>
      </w:r>
      <w:r>
        <w:t xml:space="preserve"> (wpływających na wynik okresu, w którym je poniesiono):</w:t>
      </w:r>
    </w:p>
    <w:p w:rsidR="00186EF3" w:rsidRDefault="00186EF3" w:rsidP="00186EF3">
      <w:pPr>
        <w:spacing w:line="360" w:lineRule="auto"/>
        <w:jc w:val="both"/>
      </w:pPr>
      <w:r>
        <w:t>- nieuzasadnionej części kosztów wydziałowych- są to koszty będące konsekwencją niewykorzystanych zdolności produkcyjnych i strat produkcyjnych,</w:t>
      </w:r>
    </w:p>
    <w:p w:rsidR="00186EF3" w:rsidRDefault="00186EF3" w:rsidP="00186EF3">
      <w:pPr>
        <w:spacing w:line="360" w:lineRule="auto"/>
        <w:jc w:val="both"/>
      </w:pPr>
      <w:r>
        <w:t>-kosztów ogólnego zarządu, które nie są związane z doprowadzeniem zapasów do postaci i miejsca, w jakich się znajdują w momencie wyceny,</w:t>
      </w:r>
    </w:p>
    <w:p w:rsidR="00186EF3" w:rsidRDefault="00186EF3" w:rsidP="00186EF3">
      <w:pPr>
        <w:spacing w:line="360" w:lineRule="auto"/>
        <w:jc w:val="both"/>
      </w:pPr>
      <w:r>
        <w:t>- kosztów magazynowania wyrobów gotowych i półproduktów (chyba, ze ich poniesienie jest niezbędne w procesie produkcji),</w:t>
      </w:r>
    </w:p>
    <w:p w:rsidR="00186EF3" w:rsidRDefault="00186EF3" w:rsidP="00186EF3">
      <w:pPr>
        <w:spacing w:line="360" w:lineRule="auto"/>
        <w:jc w:val="both"/>
      </w:pPr>
      <w:r>
        <w:t>-kosztów sprzedaży produktów.</w:t>
      </w:r>
    </w:p>
    <w:p w:rsidR="00186EF3" w:rsidRDefault="00186EF3" w:rsidP="00186EF3">
      <w:pPr>
        <w:spacing w:line="360" w:lineRule="auto"/>
        <w:jc w:val="both"/>
      </w:pPr>
    </w:p>
    <w:p w:rsidR="00186EF3" w:rsidRDefault="00186EF3" w:rsidP="00186EF3">
      <w:pPr>
        <w:spacing w:line="360" w:lineRule="auto"/>
        <w:jc w:val="both"/>
        <w:rPr>
          <w:rFonts w:eastAsia="Times New Roman" w:cs="Arial"/>
          <w:color w:val="505559"/>
          <w:spacing w:val="12"/>
          <w:kern w:val="36"/>
          <w:sz w:val="24"/>
          <w:szCs w:val="24"/>
          <w:lang w:eastAsia="pl-PL"/>
        </w:rPr>
      </w:pPr>
      <w:r>
        <w:t>Źródło</w:t>
      </w:r>
      <w:r>
        <w:rPr>
          <w:rFonts w:eastAsia="Times New Roman" w:cs="Arial"/>
          <w:color w:val="505559"/>
          <w:spacing w:val="12"/>
          <w:kern w:val="36"/>
          <w:sz w:val="24"/>
          <w:szCs w:val="24"/>
          <w:lang w:eastAsia="pl-PL"/>
        </w:rPr>
        <w:t xml:space="preserve">: </w:t>
      </w:r>
    </w:p>
    <w:p w:rsidR="00186EF3" w:rsidRPr="00DA573C" w:rsidRDefault="00186EF3" w:rsidP="00186EF3">
      <w:pPr>
        <w:spacing w:line="360" w:lineRule="auto"/>
        <w:jc w:val="both"/>
        <w:rPr>
          <w:rFonts w:eastAsia="Times New Roman" w:cs="Arial"/>
          <w:spacing w:val="12"/>
          <w:kern w:val="36"/>
          <w:sz w:val="24"/>
          <w:szCs w:val="24"/>
          <w:lang w:eastAsia="pl-PL"/>
        </w:rPr>
      </w:pPr>
      <w:r w:rsidRPr="00DA573C">
        <w:rPr>
          <w:rFonts w:eastAsia="Times New Roman" w:cs="Arial"/>
          <w:spacing w:val="12"/>
          <w:kern w:val="36"/>
          <w:sz w:val="24"/>
          <w:szCs w:val="24"/>
          <w:lang w:eastAsia="pl-PL"/>
        </w:rPr>
        <w:t xml:space="preserve">1. </w:t>
      </w:r>
      <w:r>
        <w:rPr>
          <w:rFonts w:eastAsia="Times New Roman" w:cs="Arial"/>
          <w:spacing w:val="12"/>
          <w:kern w:val="36"/>
          <w:sz w:val="24"/>
          <w:szCs w:val="24"/>
          <w:lang w:eastAsia="pl-PL"/>
        </w:rPr>
        <w:t xml:space="preserve">Barbara </w:t>
      </w:r>
      <w:proofErr w:type="spellStart"/>
      <w:r>
        <w:rPr>
          <w:rFonts w:eastAsia="Times New Roman" w:cs="Arial"/>
          <w:spacing w:val="12"/>
          <w:kern w:val="36"/>
          <w:sz w:val="24"/>
          <w:szCs w:val="24"/>
          <w:lang w:eastAsia="pl-PL"/>
        </w:rPr>
        <w:t>Gierusz</w:t>
      </w:r>
      <w:proofErr w:type="spellEnd"/>
      <w:r>
        <w:rPr>
          <w:rFonts w:eastAsia="Times New Roman" w:cs="Arial"/>
          <w:spacing w:val="12"/>
          <w:kern w:val="36"/>
          <w:sz w:val="24"/>
          <w:szCs w:val="24"/>
          <w:lang w:eastAsia="pl-PL"/>
        </w:rPr>
        <w:t xml:space="preserve"> "Podręcznik samodzielnej nauki księgowania" </w:t>
      </w:r>
      <w:proofErr w:type="spellStart"/>
      <w:r>
        <w:rPr>
          <w:rFonts w:eastAsia="Times New Roman" w:cs="Arial"/>
          <w:spacing w:val="12"/>
          <w:kern w:val="36"/>
          <w:sz w:val="24"/>
          <w:szCs w:val="24"/>
          <w:lang w:eastAsia="pl-PL"/>
        </w:rPr>
        <w:t>Wyd.ODDK</w:t>
      </w:r>
      <w:proofErr w:type="spellEnd"/>
      <w:r>
        <w:rPr>
          <w:rFonts w:eastAsia="Times New Roman" w:cs="Arial"/>
          <w:spacing w:val="12"/>
          <w:kern w:val="36"/>
          <w:sz w:val="24"/>
          <w:szCs w:val="24"/>
          <w:lang w:eastAsia="pl-PL"/>
        </w:rPr>
        <w:t xml:space="preserve"> Gdańsk 2013</w:t>
      </w: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Default="001A3DC5" w:rsidP="001A3DC5">
      <w:pPr>
        <w:spacing w:line="360" w:lineRule="auto"/>
        <w:jc w:val="both"/>
      </w:pPr>
    </w:p>
    <w:p w:rsidR="001A3DC5" w:rsidRPr="001A3DC5" w:rsidRDefault="001A3DC5" w:rsidP="001A3DC5">
      <w:pPr>
        <w:spacing w:line="360" w:lineRule="auto"/>
        <w:jc w:val="both"/>
        <w:rPr>
          <w:sz w:val="24"/>
          <w:szCs w:val="24"/>
        </w:rPr>
      </w:pPr>
      <w:r>
        <w:rPr>
          <w:noProof/>
          <w:sz w:val="24"/>
          <w:szCs w:val="24"/>
          <w:lang w:eastAsia="pl-PL"/>
        </w:rPr>
        <w:drawing>
          <wp:inline distT="0" distB="0" distL="0" distR="0">
            <wp:extent cx="5811734" cy="4349119"/>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979" t="8425" r="17970" b="6227"/>
                    <a:stretch>
                      <a:fillRect/>
                    </a:stretch>
                  </pic:blipFill>
                  <pic:spPr bwMode="auto">
                    <a:xfrm>
                      <a:off x="0" y="0"/>
                      <a:ext cx="5811734" cy="4349119"/>
                    </a:xfrm>
                    <a:prstGeom prst="rect">
                      <a:avLst/>
                    </a:prstGeom>
                    <a:noFill/>
                    <a:ln w="9525">
                      <a:noFill/>
                      <a:miter lim="800000"/>
                      <a:headEnd/>
                      <a:tailEnd/>
                    </a:ln>
                  </pic:spPr>
                </pic:pic>
              </a:graphicData>
            </a:graphic>
          </wp:inline>
        </w:drawing>
      </w:r>
    </w:p>
    <w:sectPr w:rsidR="001A3DC5" w:rsidRPr="001A3DC5" w:rsidSect="001E35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1A3DC5"/>
    <w:rsid w:val="00186EF3"/>
    <w:rsid w:val="001A3DC5"/>
    <w:rsid w:val="001E3518"/>
    <w:rsid w:val="0047094C"/>
    <w:rsid w:val="008B53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3518"/>
  </w:style>
  <w:style w:type="paragraph" w:styleId="Nagwek1">
    <w:name w:val="heading 1"/>
    <w:basedOn w:val="Normalny"/>
    <w:link w:val="Nagwek1Znak"/>
    <w:uiPriority w:val="9"/>
    <w:qFormat/>
    <w:rsid w:val="001A3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3DC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3DC5"/>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3DC5"/>
    <w:rPr>
      <w:rFonts w:ascii="Times New Roman" w:eastAsia="Times New Roman" w:hAnsi="Times New Roman" w:cs="Times New Roman"/>
      <w:b/>
      <w:bCs/>
      <w:sz w:val="27"/>
      <w:szCs w:val="27"/>
      <w:lang w:eastAsia="pl-PL"/>
    </w:rPr>
  </w:style>
  <w:style w:type="character" w:customStyle="1" w:styleId="posted-on">
    <w:name w:val="posted-on"/>
    <w:basedOn w:val="Domylnaczcionkaakapitu"/>
    <w:rsid w:val="001A3DC5"/>
  </w:style>
  <w:style w:type="character" w:styleId="Hipercze">
    <w:name w:val="Hyperlink"/>
    <w:basedOn w:val="Domylnaczcionkaakapitu"/>
    <w:uiPriority w:val="99"/>
    <w:semiHidden/>
    <w:unhideWhenUsed/>
    <w:rsid w:val="001A3DC5"/>
    <w:rPr>
      <w:color w:val="0000FF"/>
      <w:u w:val="single"/>
    </w:rPr>
  </w:style>
  <w:style w:type="character" w:customStyle="1" w:styleId="byline">
    <w:name w:val="byline"/>
    <w:basedOn w:val="Domylnaczcionkaakapitu"/>
    <w:rsid w:val="001A3DC5"/>
  </w:style>
  <w:style w:type="character" w:customStyle="1" w:styleId="author">
    <w:name w:val="author"/>
    <w:basedOn w:val="Domylnaczcionkaakapitu"/>
    <w:rsid w:val="001A3DC5"/>
  </w:style>
  <w:style w:type="paragraph" w:styleId="NormalnyWeb">
    <w:name w:val="Normal (Web)"/>
    <w:basedOn w:val="Normalny"/>
    <w:uiPriority w:val="99"/>
    <w:semiHidden/>
    <w:unhideWhenUsed/>
    <w:rsid w:val="001A3D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3DC5"/>
    <w:rPr>
      <w:b/>
      <w:bCs/>
    </w:rPr>
  </w:style>
  <w:style w:type="character" w:customStyle="1" w:styleId="cat-links">
    <w:name w:val="cat-links"/>
    <w:basedOn w:val="Domylnaczcionkaakapitu"/>
    <w:rsid w:val="001A3DC5"/>
  </w:style>
  <w:style w:type="character" w:customStyle="1" w:styleId="tags-links">
    <w:name w:val="tags-links"/>
    <w:basedOn w:val="Domylnaczcionkaakapitu"/>
    <w:rsid w:val="001A3DC5"/>
  </w:style>
  <w:style w:type="paragraph" w:styleId="Tekstdymka">
    <w:name w:val="Balloon Text"/>
    <w:basedOn w:val="Normalny"/>
    <w:link w:val="TekstdymkaZnak"/>
    <w:uiPriority w:val="99"/>
    <w:semiHidden/>
    <w:unhideWhenUsed/>
    <w:rsid w:val="001A3D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3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0101384">
      <w:bodyDiv w:val="1"/>
      <w:marLeft w:val="0"/>
      <w:marRight w:val="0"/>
      <w:marTop w:val="0"/>
      <w:marBottom w:val="0"/>
      <w:divBdr>
        <w:top w:val="none" w:sz="0" w:space="0" w:color="auto"/>
        <w:left w:val="none" w:sz="0" w:space="0" w:color="auto"/>
        <w:bottom w:val="none" w:sz="0" w:space="0" w:color="auto"/>
        <w:right w:val="none" w:sz="0" w:space="0" w:color="auto"/>
      </w:divBdr>
      <w:divsChild>
        <w:div w:id="1618490011">
          <w:marLeft w:val="0"/>
          <w:marRight w:val="0"/>
          <w:marTop w:val="0"/>
          <w:marBottom w:val="0"/>
          <w:divBdr>
            <w:top w:val="none" w:sz="0" w:space="0" w:color="auto"/>
            <w:left w:val="none" w:sz="0" w:space="0" w:color="auto"/>
            <w:bottom w:val="none" w:sz="0" w:space="0" w:color="auto"/>
            <w:right w:val="none" w:sz="0" w:space="0" w:color="auto"/>
          </w:divBdr>
        </w:div>
        <w:div w:id="6109877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bemi-transport.pl/przedsiebiorca/uklad-kalkulacyjny-kosz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798</Words>
  <Characters>4792</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2020-03-18T14:14:00Z</dcterms:created>
  <dcterms:modified xsi:type="dcterms:W3CDTF">2020-03-19T09:11:00Z</dcterms:modified>
</cp:coreProperties>
</file>